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CF" w:rsidRDefault="00A71851">
      <w:pPr>
        <w:jc w:val="center"/>
        <w:rPr>
          <w:b/>
        </w:rPr>
      </w:pPr>
      <w:bookmarkStart w:id="0" w:name="_GoBack"/>
      <w:bookmarkEnd w:id="0"/>
      <w:r>
        <w:rPr>
          <w:b/>
        </w:rPr>
        <w:t>TENDER TECHNICAL SPECIFICATION</w:t>
      </w:r>
    </w:p>
    <w:tbl>
      <w:tblPr>
        <w:tblStyle w:val="a5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7908"/>
      </w:tblGrid>
      <w:tr w:rsidR="008507CF">
        <w:tc>
          <w:tcPr>
            <w:tcW w:w="1851" w:type="dxa"/>
          </w:tcPr>
          <w:p w:rsidR="008507CF" w:rsidRDefault="000521A5">
            <w:pPr>
              <w:rPr>
                <w:b/>
              </w:rPr>
            </w:pPr>
            <w:r>
              <w:rPr>
                <w:b/>
              </w:rPr>
              <w:t xml:space="preserve">Tender </w:t>
            </w:r>
          </w:p>
        </w:tc>
        <w:tc>
          <w:tcPr>
            <w:tcW w:w="7908" w:type="dxa"/>
          </w:tcPr>
          <w:p w:rsidR="008507CF" w:rsidRDefault="00A71851" w:rsidP="00CC1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 of   </w:t>
            </w:r>
            <w:r w:rsidR="00CC1929">
              <w:rPr>
                <w:b/>
                <w:sz w:val="24"/>
                <w:szCs w:val="24"/>
              </w:rPr>
              <w:t>26 September</w:t>
            </w:r>
            <w:r>
              <w:rPr>
                <w:b/>
                <w:sz w:val="24"/>
                <w:szCs w:val="24"/>
              </w:rPr>
              <w:t xml:space="preserve"> 2017 </w:t>
            </w: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7908" w:type="dxa"/>
          </w:tcPr>
          <w:p w:rsidR="008507CF" w:rsidRDefault="00CC1929" w:rsidP="00CC192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Production of the content for the </w:t>
            </w:r>
            <w:r w:rsidR="000521A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TV program</w:t>
            </w:r>
            <w:r w:rsidR="000521A5">
              <w:rPr>
                <w:sz w:val="24"/>
                <w:szCs w:val="24"/>
              </w:rPr>
              <w:t>s</w:t>
            </w:r>
            <w:r w:rsidR="00A71851">
              <w:rPr>
                <w:sz w:val="24"/>
                <w:szCs w:val="24"/>
              </w:rPr>
              <w:t xml:space="preserve"> </w:t>
            </w: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t>Location and dates</w:t>
            </w:r>
          </w:p>
        </w:tc>
        <w:tc>
          <w:tcPr>
            <w:tcW w:w="7908" w:type="dxa"/>
          </w:tcPr>
          <w:p w:rsidR="008507CF" w:rsidRDefault="00A7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Kyiv, Ukraine</w:t>
            </w: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7908" w:type="dxa"/>
          </w:tcPr>
          <w:p w:rsidR="008507CF" w:rsidRDefault="00A71851" w:rsidP="0005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Deadline for provision of </w:t>
            </w:r>
            <w:r w:rsidR="00CC1929">
              <w:rPr>
                <w:sz w:val="24"/>
                <w:szCs w:val="24"/>
              </w:rPr>
              <w:t xml:space="preserve">the </w:t>
            </w:r>
            <w:r w:rsidR="000521A5">
              <w:rPr>
                <w:sz w:val="24"/>
                <w:szCs w:val="24"/>
              </w:rPr>
              <w:t xml:space="preserve">proposal </w:t>
            </w:r>
            <w:r>
              <w:rPr>
                <w:sz w:val="24"/>
                <w:szCs w:val="24"/>
              </w:rPr>
              <w:t xml:space="preserve"> – </w:t>
            </w:r>
            <w:r w:rsidR="00560197">
              <w:rPr>
                <w:sz w:val="24"/>
                <w:szCs w:val="24"/>
                <w:lang w:val="uk-UA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CC1929">
              <w:rPr>
                <w:sz w:val="24"/>
                <w:szCs w:val="24"/>
              </w:rPr>
              <w:t>October</w:t>
            </w:r>
            <w:r>
              <w:rPr>
                <w:sz w:val="24"/>
                <w:szCs w:val="24"/>
              </w:rPr>
              <w:t xml:space="preserve"> 2017</w:t>
            </w: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t>Description of services</w:t>
            </w:r>
          </w:p>
        </w:tc>
        <w:tc>
          <w:tcPr>
            <w:tcW w:w="7908" w:type="dxa"/>
          </w:tcPr>
          <w:p w:rsidR="008507CF" w:rsidRDefault="00CC19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Production of the four TV programs in a format of the talk-show with the professional journalist as a host and 3 and more speakers as experts on decentralization issues. The timing for each program is 40 min. Illustrative </w:t>
            </w:r>
            <w:r w:rsidR="00CA71B7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 xml:space="preserve">video podcasts </w:t>
            </w:r>
            <w:r w:rsidR="00CA71B7">
              <w:rPr>
                <w:b/>
                <w:sz w:val="24"/>
                <w:szCs w:val="24"/>
              </w:rPr>
              <w:t xml:space="preserve">in each program </w:t>
            </w:r>
            <w:r>
              <w:rPr>
                <w:b/>
                <w:sz w:val="24"/>
                <w:szCs w:val="24"/>
              </w:rPr>
              <w:t>are compulsory.</w:t>
            </w:r>
          </w:p>
        </w:tc>
      </w:tr>
    </w:tbl>
    <w:tbl>
      <w:tblPr>
        <w:tblStyle w:val="a8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7908"/>
      </w:tblGrid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t>Payment</w:t>
            </w:r>
          </w:p>
        </w:tc>
        <w:tc>
          <w:tcPr>
            <w:tcW w:w="7908" w:type="dxa"/>
          </w:tcPr>
          <w:p w:rsidR="008507CF" w:rsidRDefault="00A71851">
            <w:pPr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In return for the fulfilment by the Provider of its obligations under the contract, </w:t>
            </w:r>
            <w:r w:rsidR="00D3070D">
              <w:rPr>
                <w:sz w:val="24"/>
                <w:szCs w:val="24"/>
              </w:rPr>
              <w:t>DESPRO</w:t>
            </w:r>
            <w:r>
              <w:rPr>
                <w:sz w:val="24"/>
                <w:szCs w:val="24"/>
              </w:rPr>
              <w:t xml:space="preserve"> undertakes to pay the Provider the amount in UAH as follows: </w:t>
            </w:r>
          </w:p>
          <w:p w:rsidR="008507CF" w:rsidRPr="000521A5" w:rsidRDefault="00A71851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 w:rsidRPr="000521A5">
              <w:rPr>
                <w:sz w:val="24"/>
                <w:szCs w:val="24"/>
              </w:rPr>
              <w:t xml:space="preserve">Advance payment of max 60% from the total price of </w:t>
            </w:r>
            <w:r w:rsidRPr="000521A5">
              <w:rPr>
                <w:sz w:val="24"/>
                <w:szCs w:val="24"/>
                <w:u w:val="single"/>
              </w:rPr>
              <w:t>the contract</w:t>
            </w:r>
            <w:r w:rsidRPr="000521A5">
              <w:rPr>
                <w:sz w:val="24"/>
                <w:szCs w:val="24"/>
              </w:rPr>
              <w:t>;</w:t>
            </w:r>
          </w:p>
          <w:p w:rsidR="008507CF" w:rsidRDefault="00A71851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balance to be paid by the </w:t>
            </w:r>
            <w:r w:rsidR="00D3070D">
              <w:rPr>
                <w:sz w:val="24"/>
                <w:szCs w:val="24"/>
              </w:rPr>
              <w:t>DESPRO</w:t>
            </w:r>
            <w:r>
              <w:rPr>
                <w:sz w:val="24"/>
                <w:szCs w:val="24"/>
              </w:rPr>
              <w:t xml:space="preserve"> within 60 calendar days after the completion</w:t>
            </w:r>
            <w:r w:rsidR="00D3070D">
              <w:rPr>
                <w:sz w:val="24"/>
                <w:szCs w:val="24"/>
              </w:rPr>
              <w:t xml:space="preserve"> and delivery</w:t>
            </w:r>
            <w:r>
              <w:rPr>
                <w:sz w:val="24"/>
                <w:szCs w:val="24"/>
              </w:rPr>
              <w:t xml:space="preserve"> of all the services upon presentation of final detailed invoice(s), signing of the Act of Acceptance by two parties in two copies.</w:t>
            </w:r>
          </w:p>
          <w:p w:rsidR="008507CF" w:rsidRDefault="008507CF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t>Provider Exclusion</w:t>
            </w:r>
          </w:p>
        </w:tc>
        <w:tc>
          <w:tcPr>
            <w:tcW w:w="7908" w:type="dxa"/>
          </w:tcPr>
          <w:p w:rsidR="008507CF" w:rsidRDefault="00A71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Bidders should:</w:t>
            </w:r>
          </w:p>
          <w:p w:rsidR="008507CF" w:rsidRDefault="008507CF">
            <w:pPr>
              <w:jc w:val="both"/>
              <w:rPr>
                <w:sz w:val="24"/>
                <w:szCs w:val="24"/>
              </w:rPr>
            </w:pPr>
          </w:p>
          <w:p w:rsidR="008507CF" w:rsidRDefault="00A71851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not been sentenced by final judgment on one or more of the following charges: participation in a criminal </w:t>
            </w:r>
            <w:proofErr w:type="spellStart"/>
            <w:r>
              <w:rPr>
                <w:sz w:val="24"/>
                <w:szCs w:val="24"/>
              </w:rPr>
              <w:t>organisation</w:t>
            </w:r>
            <w:proofErr w:type="spellEnd"/>
            <w:r>
              <w:rPr>
                <w:sz w:val="24"/>
                <w:szCs w:val="24"/>
              </w:rPr>
              <w:t>, corruption, fraud, money laundering;</w:t>
            </w:r>
          </w:p>
          <w:p w:rsidR="008507CF" w:rsidRDefault="008507CF">
            <w:pPr>
              <w:jc w:val="both"/>
              <w:rPr>
                <w:sz w:val="24"/>
                <w:szCs w:val="24"/>
              </w:rPr>
            </w:pPr>
          </w:p>
          <w:p w:rsidR="008507CF" w:rsidRDefault="00A71851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8507CF" w:rsidRDefault="008507CF">
            <w:pPr>
              <w:jc w:val="both"/>
              <w:rPr>
                <w:sz w:val="24"/>
                <w:szCs w:val="24"/>
              </w:rPr>
            </w:pPr>
          </w:p>
          <w:p w:rsidR="008507CF" w:rsidRDefault="00A71851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not received a judgment with res judicata force, finding an offence that affects its professional integrity or constitutes a serious professional misconduct;</w:t>
            </w:r>
          </w:p>
          <w:p w:rsidR="008507CF" w:rsidRDefault="008507CF">
            <w:pPr>
              <w:jc w:val="both"/>
              <w:rPr>
                <w:sz w:val="24"/>
                <w:szCs w:val="24"/>
              </w:rPr>
            </w:pPr>
          </w:p>
          <w:p w:rsidR="008507CF" w:rsidRDefault="00A71851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comply with its obligations as regards payment of social security contributions, taxes and dues, according to the statutory provisions of the country where it is established.</w:t>
            </w: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t>Provider Eligibility Criteria</w:t>
            </w:r>
          </w:p>
        </w:tc>
        <w:tc>
          <w:tcPr>
            <w:tcW w:w="7908" w:type="dxa"/>
          </w:tcPr>
          <w:p w:rsidR="008507CF" w:rsidRDefault="00A71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Bidders should meet the following eligibility criteria:</w:t>
            </w:r>
          </w:p>
          <w:p w:rsidR="00EE1951" w:rsidRDefault="00EE195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registered as an entity entitled to supply the required equipment</w:t>
            </w:r>
          </w:p>
          <w:p w:rsidR="008507CF" w:rsidRDefault="00A71851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</w:t>
            </w:r>
            <w:proofErr w:type="spellStart"/>
            <w:r>
              <w:rPr>
                <w:sz w:val="24"/>
                <w:szCs w:val="24"/>
              </w:rPr>
              <w:t>experiencein</w:t>
            </w:r>
            <w:proofErr w:type="spellEnd"/>
            <w:r>
              <w:rPr>
                <w:sz w:val="24"/>
                <w:szCs w:val="24"/>
              </w:rPr>
              <w:t xml:space="preserve"> provision of similar </w:t>
            </w:r>
            <w:r w:rsidR="004864A1">
              <w:rPr>
                <w:sz w:val="24"/>
                <w:szCs w:val="24"/>
              </w:rPr>
              <w:t>services</w:t>
            </w:r>
            <w:r>
              <w:rPr>
                <w:sz w:val="24"/>
                <w:szCs w:val="24"/>
              </w:rPr>
              <w:t xml:space="preserve"> (min 1 calendar year).</w:t>
            </w:r>
          </w:p>
          <w:p w:rsidR="008507CF" w:rsidRDefault="008507CF" w:rsidP="004864A1">
            <w:pPr>
              <w:spacing w:after="200"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t>Provider Award Criteria</w:t>
            </w:r>
          </w:p>
        </w:tc>
        <w:tc>
          <w:tcPr>
            <w:tcW w:w="7908" w:type="dxa"/>
          </w:tcPr>
          <w:p w:rsidR="008507CF" w:rsidRDefault="00A7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Bidders will be assessed against the following criteria:</w:t>
            </w:r>
          </w:p>
          <w:p w:rsidR="008507CF" w:rsidRDefault="00A71851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Suggested </w:t>
            </w:r>
            <w:r w:rsidR="004864A1">
              <w:rPr>
                <w:sz w:val="24"/>
                <w:szCs w:val="24"/>
              </w:rPr>
              <w:t>services</w:t>
            </w:r>
            <w:r>
              <w:rPr>
                <w:sz w:val="24"/>
                <w:szCs w:val="24"/>
              </w:rPr>
              <w:t xml:space="preserve"> are in compliance with the technical specifications provided</w:t>
            </w:r>
            <w:r w:rsidR="00EE1951">
              <w:rPr>
                <w:sz w:val="24"/>
                <w:szCs w:val="24"/>
              </w:rPr>
              <w:t xml:space="preserve"> – 30%</w:t>
            </w:r>
            <w:r>
              <w:rPr>
                <w:sz w:val="24"/>
                <w:szCs w:val="24"/>
              </w:rPr>
              <w:t xml:space="preserve">; </w:t>
            </w:r>
          </w:p>
          <w:p w:rsidR="00EE1951" w:rsidRDefault="00EC78A0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the s</w:t>
            </w:r>
            <w:r w:rsidR="00EE1951">
              <w:rPr>
                <w:sz w:val="24"/>
                <w:szCs w:val="24"/>
              </w:rPr>
              <w:t xml:space="preserve">uggested </w:t>
            </w:r>
            <w:r w:rsidR="004864A1">
              <w:rPr>
                <w:sz w:val="24"/>
                <w:szCs w:val="24"/>
              </w:rPr>
              <w:t>services</w:t>
            </w:r>
            <w:r w:rsidR="00EE1951">
              <w:rPr>
                <w:sz w:val="24"/>
                <w:szCs w:val="24"/>
              </w:rPr>
              <w:t xml:space="preserve"> </w:t>
            </w:r>
            <w:r w:rsidR="00457574">
              <w:rPr>
                <w:sz w:val="24"/>
                <w:szCs w:val="24"/>
              </w:rPr>
              <w:t>– 10%;</w:t>
            </w:r>
          </w:p>
          <w:p w:rsidR="008507CF" w:rsidRDefault="00457574" w:rsidP="00457574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Suggested </w:t>
            </w:r>
            <w:r w:rsidR="00DB79B8">
              <w:rPr>
                <w:sz w:val="24"/>
                <w:szCs w:val="24"/>
              </w:rPr>
              <w:t>financial offer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="00A71851">
              <w:rPr>
                <w:sz w:val="24"/>
                <w:szCs w:val="24"/>
              </w:rPr>
              <w:t xml:space="preserve"> 60</w:t>
            </w:r>
            <w:proofErr w:type="gramEnd"/>
            <w:r w:rsidR="00A71851">
              <w:rPr>
                <w:sz w:val="24"/>
                <w:szCs w:val="24"/>
              </w:rPr>
              <w:t>%</w:t>
            </w:r>
            <w:r w:rsidR="0062699E">
              <w:rPr>
                <w:sz w:val="24"/>
                <w:szCs w:val="24"/>
              </w:rPr>
              <w:t>.</w:t>
            </w:r>
          </w:p>
          <w:p w:rsidR="00457574" w:rsidRPr="00457574" w:rsidRDefault="00457574" w:rsidP="00457574">
            <w:pPr>
              <w:spacing w:line="276" w:lineRule="auto"/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lastRenderedPageBreak/>
              <w:t>Call for tender issued</w:t>
            </w:r>
          </w:p>
        </w:tc>
        <w:tc>
          <w:tcPr>
            <w:tcW w:w="7908" w:type="dxa"/>
          </w:tcPr>
          <w:p w:rsidR="008507CF" w:rsidRDefault="00CC1929" w:rsidP="00CC1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26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September</w:t>
            </w:r>
            <w:proofErr w:type="spellEnd"/>
            <w:r w:rsidR="00A71851">
              <w:rPr>
                <w:b/>
                <w:sz w:val="24"/>
                <w:szCs w:val="24"/>
              </w:rPr>
              <w:t xml:space="preserve"> 2017</w:t>
            </w: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</w:rPr>
              <w:t xml:space="preserve">Date of the announcement of the results </w:t>
            </w:r>
          </w:p>
        </w:tc>
        <w:tc>
          <w:tcPr>
            <w:tcW w:w="7908" w:type="dxa"/>
          </w:tcPr>
          <w:p w:rsidR="008507CF" w:rsidRDefault="00CC1929" w:rsidP="00CC1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November </w:t>
            </w:r>
            <w:r w:rsidR="00A71851">
              <w:rPr>
                <w:b/>
                <w:sz w:val="24"/>
                <w:szCs w:val="24"/>
              </w:rPr>
              <w:t xml:space="preserve"> 2017 </w:t>
            </w:r>
          </w:p>
        </w:tc>
      </w:tr>
      <w:tr w:rsidR="008507CF">
        <w:tc>
          <w:tcPr>
            <w:tcW w:w="1851" w:type="dxa"/>
          </w:tcPr>
          <w:p w:rsidR="008507CF" w:rsidRDefault="00A718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Documents to be provided by the Bidders</w:t>
            </w:r>
          </w:p>
        </w:tc>
        <w:tc>
          <w:tcPr>
            <w:tcW w:w="7908" w:type="dxa"/>
          </w:tcPr>
          <w:p w:rsidR="008507CF" w:rsidRDefault="00A71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Bids should be sent via e-mail </w:t>
            </w:r>
            <w:r w:rsidR="00CC1929" w:rsidRPr="0062508C">
              <w:t>a.golotenko@despro.org.</w:t>
            </w:r>
            <w:r w:rsidR="00CC1929" w:rsidRPr="000521A5">
              <w:t>ua</w:t>
            </w:r>
            <w:r w:rsidR="000521A5" w:rsidRPr="000521A5">
              <w:t xml:space="preserve"> </w:t>
            </w:r>
            <w:r w:rsidR="00CC1929" w:rsidRPr="000521A5">
              <w:t>in</w:t>
            </w:r>
            <w:r w:rsidR="00CC1929" w:rsidRPr="0062508C">
              <w:t xml:space="preserve"> a subject line by 30 October 2017 by 11:00 Kyiv Time. The deadline is compulsory</w:t>
            </w:r>
            <w:r w:rsidR="00CC19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a subject line by </w:t>
            </w:r>
            <w:r w:rsidR="00560197">
              <w:rPr>
                <w:b/>
                <w:sz w:val="24"/>
                <w:szCs w:val="24"/>
                <w:lang w:val="uk-UA"/>
              </w:rPr>
              <w:t>3</w:t>
            </w:r>
            <w:r w:rsidR="002E3FE6">
              <w:rPr>
                <w:b/>
                <w:sz w:val="24"/>
                <w:szCs w:val="24"/>
                <w:lang w:val="uk-UA"/>
              </w:rPr>
              <w:t xml:space="preserve">0 </w:t>
            </w:r>
            <w:r w:rsidR="002E3FE6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 xml:space="preserve"> 2017 at </w:t>
            </w:r>
            <w:r w:rsidR="00560197">
              <w:rPr>
                <w:b/>
                <w:sz w:val="24"/>
                <w:szCs w:val="24"/>
                <w:lang w:val="uk-UA"/>
              </w:rPr>
              <w:t>11</w:t>
            </w:r>
            <w:r>
              <w:rPr>
                <w:b/>
                <w:sz w:val="24"/>
                <w:szCs w:val="24"/>
              </w:rPr>
              <w:t>:00 Kyiv Time. The deadline is compulsory.</w:t>
            </w:r>
          </w:p>
          <w:p w:rsidR="008507CF" w:rsidRDefault="00A7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documents should be presented: </w:t>
            </w:r>
          </w:p>
          <w:p w:rsidR="008507CF" w:rsidRDefault="00A7185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APPENDIX II Provisional budget template</w:t>
            </w:r>
            <w:r>
              <w:rPr>
                <w:i/>
                <w:sz w:val="24"/>
                <w:szCs w:val="24"/>
              </w:rPr>
              <w:t xml:space="preserve"> filled in as per all requested service positions in PDF </w:t>
            </w:r>
            <w:r>
              <w:rPr>
                <w:b/>
                <w:i/>
                <w:sz w:val="24"/>
                <w:szCs w:val="24"/>
                <w:u w:val="single"/>
              </w:rPr>
              <w:t>and</w:t>
            </w:r>
            <w:r>
              <w:rPr>
                <w:i/>
                <w:sz w:val="24"/>
                <w:szCs w:val="24"/>
              </w:rPr>
              <w:t xml:space="preserve"> Excel format. Submitted PDF formatted budget should be </w:t>
            </w:r>
            <w:r>
              <w:rPr>
                <w:i/>
                <w:sz w:val="24"/>
                <w:szCs w:val="24"/>
                <w:u w:val="single"/>
              </w:rPr>
              <w:t xml:space="preserve">duly  signed, stamped and dated; provided on the Company’s letterhead </w:t>
            </w:r>
            <w:r w:rsidR="00CC1929">
              <w:rPr>
                <w:i/>
                <w:sz w:val="24"/>
                <w:szCs w:val="24"/>
              </w:rPr>
              <w:t xml:space="preserve"> </w:t>
            </w:r>
          </w:p>
          <w:p w:rsidR="008507CF" w:rsidRDefault="00A7185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Technical specification </w:t>
            </w:r>
          </w:p>
          <w:p w:rsidR="008507CF" w:rsidRDefault="00A71851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Declaration of the provider signed, dated and stamped in Ukrainian and English</w:t>
            </w:r>
          </w:p>
          <w:p w:rsidR="008507CF" w:rsidRDefault="00457574" w:rsidP="00457574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Document confirming state registration of the supplier in accordance with the national legislation</w:t>
            </w:r>
          </w:p>
        </w:tc>
      </w:tr>
    </w:tbl>
    <w:p w:rsidR="008507CF" w:rsidRDefault="008507CF"/>
    <w:p w:rsidR="008507CF" w:rsidRDefault="008507CF"/>
    <w:sectPr w:rsidR="008507CF" w:rsidSect="005926F4">
      <w:headerReference w:type="default" r:id="rId8"/>
      <w:footerReference w:type="default" r:id="rId9"/>
      <w:headerReference w:type="first" r:id="rId10"/>
      <w:pgSz w:w="11907" w:h="16839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4F" w:rsidRDefault="002C344F">
      <w:pPr>
        <w:spacing w:after="0" w:line="240" w:lineRule="auto"/>
      </w:pPr>
      <w:r>
        <w:separator/>
      </w:r>
    </w:p>
  </w:endnote>
  <w:endnote w:type="continuationSeparator" w:id="0">
    <w:p w:rsidR="002C344F" w:rsidRDefault="002C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CF" w:rsidRDefault="00A71851">
    <w:pPr>
      <w:tabs>
        <w:tab w:val="center" w:pos="4680"/>
        <w:tab w:val="right" w:pos="9360"/>
      </w:tabs>
      <w:spacing w:after="0" w:line="240" w:lineRule="auto"/>
      <w:jc w:val="right"/>
    </w:pPr>
    <w:r>
      <w:t xml:space="preserve">Page </w:t>
    </w:r>
    <w:r w:rsidR="005926F4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5926F4">
      <w:rPr>
        <w:b/>
        <w:sz w:val="24"/>
        <w:szCs w:val="24"/>
      </w:rPr>
      <w:fldChar w:fldCharType="separate"/>
    </w:r>
    <w:r w:rsidR="00C4016A">
      <w:rPr>
        <w:b/>
        <w:noProof/>
        <w:sz w:val="24"/>
        <w:szCs w:val="24"/>
      </w:rPr>
      <w:t>2</w:t>
    </w:r>
    <w:r w:rsidR="005926F4">
      <w:rPr>
        <w:b/>
        <w:sz w:val="24"/>
        <w:szCs w:val="24"/>
      </w:rPr>
      <w:fldChar w:fldCharType="end"/>
    </w:r>
    <w:r>
      <w:t xml:space="preserve"> of </w:t>
    </w:r>
    <w:r w:rsidR="005926F4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5926F4">
      <w:rPr>
        <w:b/>
        <w:sz w:val="24"/>
        <w:szCs w:val="24"/>
      </w:rPr>
      <w:fldChar w:fldCharType="separate"/>
    </w:r>
    <w:r w:rsidR="00C4016A">
      <w:rPr>
        <w:b/>
        <w:noProof/>
        <w:sz w:val="24"/>
        <w:szCs w:val="24"/>
      </w:rPr>
      <w:t>2</w:t>
    </w:r>
    <w:r w:rsidR="005926F4">
      <w:rPr>
        <w:b/>
        <w:sz w:val="24"/>
        <w:szCs w:val="24"/>
      </w:rPr>
      <w:fldChar w:fldCharType="end"/>
    </w:r>
  </w:p>
  <w:p w:rsidR="008507CF" w:rsidRDefault="008507CF">
    <w:pPr>
      <w:tabs>
        <w:tab w:val="center" w:pos="4680"/>
        <w:tab w:val="right" w:pos="9360"/>
      </w:tabs>
      <w:spacing w:after="51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4F" w:rsidRDefault="002C344F">
      <w:pPr>
        <w:spacing w:after="0" w:line="240" w:lineRule="auto"/>
      </w:pPr>
      <w:r>
        <w:separator/>
      </w:r>
    </w:p>
  </w:footnote>
  <w:footnote w:type="continuationSeparator" w:id="0">
    <w:p w:rsidR="002C344F" w:rsidRDefault="002C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CF" w:rsidRDefault="008507CF">
    <w:pPr>
      <w:tabs>
        <w:tab w:val="center" w:pos="4680"/>
        <w:tab w:val="right" w:pos="9360"/>
      </w:tabs>
      <w:spacing w:before="510"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CF" w:rsidRDefault="00CC1929">
    <w:pPr>
      <w:tabs>
        <w:tab w:val="center" w:pos="4680"/>
        <w:tab w:val="right" w:pos="9360"/>
      </w:tabs>
      <w:spacing w:before="510" w:after="0" w:line="240" w:lineRule="auto"/>
      <w:jc w:val="center"/>
    </w:pPr>
    <w:r>
      <w:rPr>
        <w:noProof/>
        <w:lang w:val="uk-UA" w:eastAsia="uk-UA"/>
      </w:rPr>
      <w:drawing>
        <wp:inline distT="0" distB="0" distL="0" distR="0">
          <wp:extent cx="4505325" cy="466725"/>
          <wp:effectExtent l="0" t="0" r="9525" b="9525"/>
          <wp:docPr id="2" name="Рисунок 2" descr="http://despro.org.ua/images/logo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spro.org.ua/images/logo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C6"/>
    <w:multiLevelType w:val="multilevel"/>
    <w:tmpl w:val="FDD0DE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6905FC6"/>
    <w:multiLevelType w:val="multilevel"/>
    <w:tmpl w:val="EB722D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11160D2"/>
    <w:multiLevelType w:val="multilevel"/>
    <w:tmpl w:val="39B40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6996793C"/>
    <w:multiLevelType w:val="multilevel"/>
    <w:tmpl w:val="99A4B7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7C1C189E"/>
    <w:multiLevelType w:val="multilevel"/>
    <w:tmpl w:val="509CC4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CF"/>
    <w:rsid w:val="000521A5"/>
    <w:rsid w:val="00234082"/>
    <w:rsid w:val="00286D03"/>
    <w:rsid w:val="002C344F"/>
    <w:rsid w:val="002E3FE6"/>
    <w:rsid w:val="00336090"/>
    <w:rsid w:val="00457574"/>
    <w:rsid w:val="004864A1"/>
    <w:rsid w:val="00560197"/>
    <w:rsid w:val="005926F4"/>
    <w:rsid w:val="0062699E"/>
    <w:rsid w:val="006515C4"/>
    <w:rsid w:val="00683EC1"/>
    <w:rsid w:val="007A6820"/>
    <w:rsid w:val="008507CF"/>
    <w:rsid w:val="00A652F5"/>
    <w:rsid w:val="00A71851"/>
    <w:rsid w:val="00AC0E4B"/>
    <w:rsid w:val="00B526A3"/>
    <w:rsid w:val="00C4016A"/>
    <w:rsid w:val="00CA71B7"/>
    <w:rsid w:val="00CC1929"/>
    <w:rsid w:val="00D3070D"/>
    <w:rsid w:val="00DB79B8"/>
    <w:rsid w:val="00EB0206"/>
    <w:rsid w:val="00EC78A0"/>
    <w:rsid w:val="00EE1951"/>
    <w:rsid w:val="00FD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F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C1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929"/>
  </w:style>
  <w:style w:type="paragraph" w:styleId="ad">
    <w:name w:val="footer"/>
    <w:basedOn w:val="a"/>
    <w:link w:val="ae"/>
    <w:uiPriority w:val="99"/>
    <w:unhideWhenUsed/>
    <w:rsid w:val="00CC1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929"/>
  </w:style>
  <w:style w:type="character" w:styleId="af">
    <w:name w:val="Hyperlink"/>
    <w:basedOn w:val="a0"/>
    <w:uiPriority w:val="99"/>
    <w:unhideWhenUsed/>
    <w:rsid w:val="00052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F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C1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929"/>
  </w:style>
  <w:style w:type="paragraph" w:styleId="ad">
    <w:name w:val="footer"/>
    <w:basedOn w:val="a"/>
    <w:link w:val="ae"/>
    <w:uiPriority w:val="99"/>
    <w:unhideWhenUsed/>
    <w:rsid w:val="00CC19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929"/>
  </w:style>
  <w:style w:type="character" w:styleId="af">
    <w:name w:val="Hyperlink"/>
    <w:basedOn w:val="a0"/>
    <w:uiPriority w:val="99"/>
    <w:unhideWhenUsed/>
    <w:rsid w:val="00052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lena_s</cp:lastModifiedBy>
  <cp:revision>2</cp:revision>
  <cp:lastPrinted>2017-10-11T07:51:00Z</cp:lastPrinted>
  <dcterms:created xsi:type="dcterms:W3CDTF">2017-12-01T09:45:00Z</dcterms:created>
  <dcterms:modified xsi:type="dcterms:W3CDTF">2017-12-01T09:45:00Z</dcterms:modified>
</cp:coreProperties>
</file>